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73C98">
      <w:pPr>
        <w:pStyle w:val="2"/>
        <w:spacing w:line="600" w:lineRule="exact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附表2</w:t>
      </w:r>
      <w:bookmarkStart w:id="0" w:name="_GoBack"/>
      <w:bookmarkEnd w:id="0"/>
    </w:p>
    <w:p w14:paraId="2855A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延安市甘泉县延长油气勘探公司“8·16”井架坍塌事故责任单位</w:t>
      </w:r>
    </w:p>
    <w:p w14:paraId="602A8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处理落实情况汇总表</w:t>
      </w:r>
    </w:p>
    <w:tbl>
      <w:tblPr>
        <w:tblStyle w:val="4"/>
        <w:tblW w:w="14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396"/>
        <w:gridCol w:w="4723"/>
        <w:gridCol w:w="3119"/>
        <w:gridCol w:w="1379"/>
        <w:gridCol w:w="3200"/>
      </w:tblGrid>
      <w:tr w14:paraId="7AD2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tblHeader/>
          <w:jc w:val="center"/>
        </w:trPr>
        <w:tc>
          <w:tcPr>
            <w:tcW w:w="866" w:type="dxa"/>
            <w:vAlign w:val="center"/>
          </w:tcPr>
          <w:p w14:paraId="5C2AAEBA">
            <w:pPr>
              <w:keepNext w:val="0"/>
              <w:keepLines w:val="0"/>
              <w:pageBreakBefore w:val="0"/>
              <w:widowControl w:val="0"/>
              <w:tabs>
                <w:tab w:val="left" w:pos="1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396" w:type="dxa"/>
            <w:vAlign w:val="center"/>
          </w:tcPr>
          <w:p w14:paraId="290F064B">
            <w:pPr>
              <w:keepNext w:val="0"/>
              <w:keepLines w:val="0"/>
              <w:pageBreakBefore w:val="0"/>
              <w:widowControl w:val="0"/>
              <w:tabs>
                <w:tab w:val="left" w:pos="1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单位名称</w:t>
            </w:r>
          </w:p>
        </w:tc>
        <w:tc>
          <w:tcPr>
            <w:tcW w:w="4723" w:type="dxa"/>
            <w:vAlign w:val="center"/>
          </w:tcPr>
          <w:p w14:paraId="271B7B95">
            <w:pPr>
              <w:keepNext w:val="0"/>
              <w:keepLines w:val="0"/>
              <w:pageBreakBefore w:val="0"/>
              <w:widowControl w:val="0"/>
              <w:tabs>
                <w:tab w:val="left" w:pos="1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责任认定</w:t>
            </w:r>
          </w:p>
        </w:tc>
        <w:tc>
          <w:tcPr>
            <w:tcW w:w="3119" w:type="dxa"/>
            <w:vAlign w:val="center"/>
          </w:tcPr>
          <w:p w14:paraId="79BB5B40">
            <w:pPr>
              <w:keepNext w:val="0"/>
              <w:keepLines w:val="0"/>
              <w:pageBreakBefore w:val="0"/>
              <w:widowControl w:val="0"/>
              <w:tabs>
                <w:tab w:val="left" w:pos="1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处理建议</w:t>
            </w:r>
          </w:p>
        </w:tc>
        <w:tc>
          <w:tcPr>
            <w:tcW w:w="1379" w:type="dxa"/>
            <w:vAlign w:val="center"/>
          </w:tcPr>
          <w:p w14:paraId="75E9080E">
            <w:pPr>
              <w:keepNext w:val="0"/>
              <w:keepLines w:val="0"/>
              <w:pageBreakBefore w:val="0"/>
              <w:widowControl w:val="0"/>
              <w:tabs>
                <w:tab w:val="left" w:pos="1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落实单位</w:t>
            </w:r>
          </w:p>
        </w:tc>
        <w:tc>
          <w:tcPr>
            <w:tcW w:w="3200" w:type="dxa"/>
            <w:vAlign w:val="center"/>
          </w:tcPr>
          <w:p w14:paraId="240A9207">
            <w:pPr>
              <w:keepNext w:val="0"/>
              <w:keepLines w:val="0"/>
              <w:pageBreakBefore w:val="0"/>
              <w:widowControl w:val="0"/>
              <w:tabs>
                <w:tab w:val="left" w:pos="1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落实情况</w:t>
            </w:r>
          </w:p>
        </w:tc>
      </w:tr>
      <w:tr w14:paraId="6041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7" w:hRule="atLeast"/>
          <w:jc w:val="center"/>
        </w:trPr>
        <w:tc>
          <w:tcPr>
            <w:tcW w:w="866" w:type="dxa"/>
            <w:vAlign w:val="center"/>
          </w:tcPr>
          <w:p w14:paraId="50942492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1396" w:type="dxa"/>
            <w:vAlign w:val="center"/>
          </w:tcPr>
          <w:p w14:paraId="5DD4CB19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海江公司</w:t>
            </w:r>
          </w:p>
        </w:tc>
        <w:tc>
          <w:tcPr>
            <w:tcW w:w="4723" w:type="dxa"/>
            <w:vAlign w:val="center"/>
          </w:tcPr>
          <w:p w14:paraId="191B307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未严格落实安全生产主体责任，未建立与岗位相匹配的全员安全生产责任制，人员岗位职责不清；安全生产管理制度不健全，无隐患排查治理制度，无安全生产例检制度，无安全生产投入制度；安全管理制度和操作规程执行不到位，在未制定实施方案的情况下组织实施井架安装、拆卸作业；现场管理混乱，作业人员未按规定佩戴、使用劳动防护用品；安全生产教育培训不到位，未制定本单位安全教育培训计划，未建立安全教育培训档案；安全教育培训流于形式，人员签到有代签字现象；安全生产投入不足，未按规定提取安全生产费用；安全风险辨识及隐患排查不全面、不彻底；未签订施工合同、未取得采气四厂派工单，擅自搬迁到泉98-1井；未按规定时限向政府有关部门报告事故信息，存在迟报行为。对事故发生负主要责任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19" w:type="dxa"/>
            <w:vAlign w:val="center"/>
          </w:tcPr>
          <w:p w14:paraId="12E3AD07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建议由延安市应急管理局依据《中华人民共和国安全生产法》第一百一十 四条第一款之规定，依法给予其行政处罚，并由延安市行政审批服务局依法暂扣其安全生产许可证。</w:t>
            </w:r>
          </w:p>
        </w:tc>
        <w:tc>
          <w:tcPr>
            <w:tcW w:w="1379" w:type="dxa"/>
            <w:vAlign w:val="center"/>
          </w:tcPr>
          <w:p w14:paraId="5CF65C7A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延安市应急管理局、延安市行政审批服务局</w:t>
            </w:r>
          </w:p>
        </w:tc>
        <w:tc>
          <w:tcPr>
            <w:tcW w:w="3200" w:type="dxa"/>
            <w:vAlign w:val="center"/>
          </w:tcPr>
          <w:p w14:paraId="79921E19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2024年7月8日，延安市应急管理局作出行政处罚决定，处罚海江公司70万元，7月22日已上缴罚款。</w:t>
            </w:r>
            <w:r>
              <w:rPr>
                <w:rFonts w:hint="eastAsia" w:ascii="仿宋" w:hAnsi="仿宋" w:cs="仿宋"/>
                <w:sz w:val="21"/>
                <w:szCs w:val="21"/>
              </w:rPr>
              <w:t>在延安市行政审批服务局《关于强化油气技术服务企业审核工作的进展情况汇报》中明确：对“8.16”安全生产事故涉事企业的安全生产许可证原件（正副本）进行暂扣。</w:t>
            </w:r>
          </w:p>
        </w:tc>
      </w:tr>
      <w:tr w14:paraId="025F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3" w:hRule="atLeast"/>
          <w:jc w:val="center"/>
        </w:trPr>
        <w:tc>
          <w:tcPr>
            <w:tcW w:w="866" w:type="dxa"/>
            <w:vAlign w:val="center"/>
          </w:tcPr>
          <w:p w14:paraId="697E5163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1396" w:type="dxa"/>
            <w:vAlign w:val="center"/>
          </w:tcPr>
          <w:p w14:paraId="2AFBF09B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采气四厂</w:t>
            </w:r>
          </w:p>
        </w:tc>
        <w:tc>
          <w:tcPr>
            <w:tcW w:w="4723" w:type="dxa"/>
            <w:vAlign w:val="center"/>
          </w:tcPr>
          <w:p w14:paraId="0558825F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对安全生产工作重视不够，企业安全生产主体责任落实不到位，未认真督促相关科室履行好各自职能，对钻井队伍疏于管理，未组织开展建井队伍安全教育培训，未督促建井队伍健全安全生产责任制，未按国家规定与其签订《非煤矿山安全管理协议》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cs="仿宋"/>
                <w:sz w:val="21"/>
                <w:szCs w:val="21"/>
              </w:rPr>
              <w:t>未严格执行厂里制定的规章制度，未按规定对作业队伍的资质进行审查，在合同未签订的情况下，违规办理协调证明及介绍信；未认真开展安全教育培训工作，对本企业员工的安全教育培训不全面，相关科室业务人员岗位职责不清，未熟练掌握科室业务流程及相关业务办理前置条件；安全监督检查不到位，未及时检查发现并制止作业队伍违规搬迁至所管辖的井场，对外包作业队伍失管失控。安全管理制度不健全，双重预防机制编制过程中，未对钻井作业进行全过程辨识；应急救援预案编制不规范，未与上级公司和属地政府衔接；吸取事故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教训</w:t>
            </w:r>
            <w:r>
              <w:rPr>
                <w:rFonts w:hint="eastAsia" w:ascii="仿宋" w:hAnsi="仿宋" w:cs="仿宋"/>
                <w:sz w:val="21"/>
                <w:szCs w:val="21"/>
              </w:rPr>
              <w:t>不深刻，未认真分析总结事故暴露出的深层次问题，未总体安排部署，未制定相应的方案并采取有效的措施；未按规定进行信息报告，有迟报行为。对事故发生负有主要责任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19" w:type="dxa"/>
            <w:vAlign w:val="center"/>
          </w:tcPr>
          <w:p w14:paraId="0FC66B7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建议由延安市应急管理局依据《中华人民共和国安全生产法》第一百一十四条第一款之规定，依法给予其行政处罚，并依据有关法律法规对其实施特别监管。</w:t>
            </w:r>
          </w:p>
        </w:tc>
        <w:tc>
          <w:tcPr>
            <w:tcW w:w="1379" w:type="dxa"/>
            <w:vAlign w:val="center"/>
          </w:tcPr>
          <w:p w14:paraId="0794F203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延安市应急管理局</w:t>
            </w:r>
          </w:p>
        </w:tc>
        <w:tc>
          <w:tcPr>
            <w:tcW w:w="3200" w:type="dxa"/>
            <w:vAlign w:val="center"/>
          </w:tcPr>
          <w:p w14:paraId="63CEC5B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eastAsia" w:ascii="仿宋" w:hAnsi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日，延安市应急管理局作出行政处罚决定，处罚采气四厂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仿宋" w:hAnsi="仿宋" w:cs="仿宋"/>
                <w:sz w:val="21"/>
                <w:szCs w:val="21"/>
              </w:rPr>
              <w:t>万元，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7月16日已上缴罚款。</w:t>
            </w:r>
          </w:p>
        </w:tc>
      </w:tr>
      <w:tr w14:paraId="1876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 w14:paraId="7D18B929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1396" w:type="dxa"/>
            <w:vAlign w:val="center"/>
          </w:tcPr>
          <w:p w14:paraId="39A1545E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采气四厂</w:t>
            </w:r>
          </w:p>
        </w:tc>
        <w:tc>
          <w:tcPr>
            <w:tcW w:w="4723" w:type="dxa"/>
            <w:vAlign w:val="center"/>
          </w:tcPr>
          <w:p w14:paraId="5C9B0F6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/</w:t>
            </w:r>
          </w:p>
        </w:tc>
        <w:tc>
          <w:tcPr>
            <w:tcW w:w="3119" w:type="dxa"/>
            <w:vAlign w:val="center"/>
          </w:tcPr>
          <w:p w14:paraId="523E5BDF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责令采气四厂向油气勘探公司作出书面检查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9" w:type="dxa"/>
            <w:vAlign w:val="center"/>
          </w:tcPr>
          <w:p w14:paraId="1D8107D6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油气勘探公司</w:t>
            </w:r>
          </w:p>
        </w:tc>
        <w:tc>
          <w:tcPr>
            <w:tcW w:w="3200" w:type="dxa"/>
            <w:vAlign w:val="center"/>
          </w:tcPr>
          <w:p w14:paraId="2A69960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于2024年5月23日采气四厂向油气勘探公司作出书面检查。</w:t>
            </w:r>
          </w:p>
          <w:p w14:paraId="5DD17E87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已落实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。</w:t>
            </w:r>
          </w:p>
        </w:tc>
      </w:tr>
      <w:tr w14:paraId="0006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Align w:val="center"/>
          </w:tcPr>
          <w:p w14:paraId="2F94A6D5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1396" w:type="dxa"/>
            <w:vAlign w:val="center"/>
          </w:tcPr>
          <w:p w14:paraId="236B430B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油气勘探公司</w:t>
            </w:r>
          </w:p>
        </w:tc>
        <w:tc>
          <w:tcPr>
            <w:tcW w:w="4723" w:type="dxa"/>
            <w:vAlign w:val="center"/>
          </w:tcPr>
          <w:p w14:paraId="650C7A90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/</w:t>
            </w:r>
          </w:p>
        </w:tc>
        <w:tc>
          <w:tcPr>
            <w:tcW w:w="3119" w:type="dxa"/>
            <w:vAlign w:val="center"/>
          </w:tcPr>
          <w:p w14:paraId="5AB162D8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油气勘探公司向陕西延长石油（集团）有限责任公司作出书面检查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79" w:type="dxa"/>
            <w:vAlign w:val="center"/>
          </w:tcPr>
          <w:p w14:paraId="67E2C3D1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陕西延长石油（集团）有限责任公司</w:t>
            </w:r>
          </w:p>
        </w:tc>
        <w:tc>
          <w:tcPr>
            <w:tcW w:w="3200" w:type="dxa"/>
            <w:vAlign w:val="center"/>
          </w:tcPr>
          <w:p w14:paraId="1C0AB522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于2024年9月11日油气勘探公司</w:t>
            </w:r>
            <w:r>
              <w:rPr>
                <w:rFonts w:hint="eastAsia" w:ascii="仿宋" w:hAnsi="仿宋" w:cs="仿宋"/>
                <w:sz w:val="21"/>
                <w:szCs w:val="21"/>
              </w:rPr>
              <w:t>已向陕西延长石油（集团）有限责任公司递交书面检查。</w:t>
            </w:r>
          </w:p>
          <w:p w14:paraId="4420D3F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已落实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。</w:t>
            </w:r>
          </w:p>
        </w:tc>
      </w:tr>
      <w:tr w14:paraId="5E41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66" w:type="dxa"/>
            <w:vAlign w:val="center"/>
          </w:tcPr>
          <w:p w14:paraId="32215156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1396" w:type="dxa"/>
            <w:vAlign w:val="center"/>
          </w:tcPr>
          <w:p w14:paraId="213C4E21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甘泉县应急管理局、桥镇乡</w:t>
            </w:r>
          </w:p>
        </w:tc>
        <w:tc>
          <w:tcPr>
            <w:tcW w:w="4723" w:type="dxa"/>
            <w:vAlign w:val="center"/>
          </w:tcPr>
          <w:p w14:paraId="238179F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/</w:t>
            </w:r>
          </w:p>
        </w:tc>
        <w:tc>
          <w:tcPr>
            <w:tcW w:w="3119" w:type="dxa"/>
            <w:vAlign w:val="center"/>
          </w:tcPr>
          <w:p w14:paraId="4EBDF87E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责令甘泉县应急管理局、桥镇乡向甘泉县政府作出书面检查。</w:t>
            </w:r>
          </w:p>
        </w:tc>
        <w:tc>
          <w:tcPr>
            <w:tcW w:w="1379" w:type="dxa"/>
            <w:vAlign w:val="center"/>
          </w:tcPr>
          <w:p w14:paraId="03427106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甘泉县政府</w:t>
            </w:r>
          </w:p>
        </w:tc>
        <w:tc>
          <w:tcPr>
            <w:tcW w:w="3200" w:type="dxa"/>
            <w:vAlign w:val="center"/>
          </w:tcPr>
          <w:p w14:paraId="4267D484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2024年2月22日，</w:t>
            </w:r>
            <w:r>
              <w:rPr>
                <w:rFonts w:hint="eastAsia" w:ascii="仿宋" w:hAnsi="仿宋" w:cs="仿宋"/>
                <w:sz w:val="21"/>
                <w:szCs w:val="21"/>
              </w:rPr>
              <w:t>甘泉县应急管理局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cs="仿宋"/>
                <w:sz w:val="21"/>
                <w:szCs w:val="21"/>
              </w:rPr>
              <w:t>桥镇乡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分别</w:t>
            </w:r>
            <w:r>
              <w:rPr>
                <w:rFonts w:hint="eastAsia" w:ascii="仿宋" w:hAnsi="仿宋" w:cs="仿宋"/>
                <w:sz w:val="21"/>
                <w:szCs w:val="21"/>
              </w:rPr>
              <w:t>向甘泉县政府递交书面检查</w:t>
            </w:r>
            <w:r>
              <w:rPr>
                <w:rFonts w:hint="eastAsia" w:ascii="仿宋" w:hAnsi="仿宋" w:cs="仿宋"/>
                <w:sz w:val="21"/>
                <w:szCs w:val="21"/>
                <w:lang w:eastAsia="zh-CN"/>
              </w:rPr>
              <w:t>。</w:t>
            </w:r>
          </w:p>
        </w:tc>
      </w:tr>
      <w:tr w14:paraId="18F4D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866" w:type="dxa"/>
            <w:vAlign w:val="center"/>
          </w:tcPr>
          <w:p w14:paraId="6195017A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1396" w:type="dxa"/>
            <w:vAlign w:val="center"/>
          </w:tcPr>
          <w:p w14:paraId="63679199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甘泉县人民政府、延安市行政审批服务局</w:t>
            </w:r>
          </w:p>
        </w:tc>
        <w:tc>
          <w:tcPr>
            <w:tcW w:w="4723" w:type="dxa"/>
            <w:vAlign w:val="center"/>
          </w:tcPr>
          <w:p w14:paraId="70A58C3E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/</w:t>
            </w:r>
          </w:p>
        </w:tc>
        <w:tc>
          <w:tcPr>
            <w:tcW w:w="3119" w:type="dxa"/>
            <w:vAlign w:val="center"/>
          </w:tcPr>
          <w:p w14:paraId="73FFB24A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责令甘泉县人民政府、延安市行政审批服务局向延安市政府作出书面检查。</w:t>
            </w:r>
          </w:p>
        </w:tc>
        <w:tc>
          <w:tcPr>
            <w:tcW w:w="1379" w:type="dxa"/>
            <w:vAlign w:val="center"/>
          </w:tcPr>
          <w:p w14:paraId="1F6D0DCA">
            <w:pPr>
              <w:tabs>
                <w:tab w:val="left" w:pos="1588"/>
              </w:tabs>
              <w:spacing w:line="30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延安市政府</w:t>
            </w:r>
          </w:p>
        </w:tc>
        <w:tc>
          <w:tcPr>
            <w:tcW w:w="3200" w:type="dxa"/>
            <w:vAlign w:val="center"/>
          </w:tcPr>
          <w:p w14:paraId="2628C03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2024年4月23日，</w:t>
            </w:r>
            <w:r>
              <w:rPr>
                <w:rFonts w:hint="eastAsia" w:ascii="仿宋" w:hAnsi="仿宋" w:cs="仿宋"/>
                <w:sz w:val="21"/>
                <w:szCs w:val="21"/>
              </w:rPr>
              <w:t>甘泉县人民政府向延安市政府递交书面检查；</w:t>
            </w:r>
          </w:p>
          <w:p w14:paraId="750F16A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>2024年4月5日，</w:t>
            </w:r>
            <w:r>
              <w:rPr>
                <w:rFonts w:hint="eastAsia" w:ascii="仿宋" w:hAnsi="仿宋" w:cs="仿宋"/>
                <w:sz w:val="21"/>
                <w:szCs w:val="21"/>
              </w:rPr>
              <w:t>延安市行政审批服务局向市政府递交书面检查。</w:t>
            </w:r>
          </w:p>
        </w:tc>
      </w:tr>
    </w:tbl>
    <w:p w14:paraId="03C997C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41D0"/>
    <w:rsid w:val="03D1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Cs w:val="22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2025-02-19T01:39:00Z</dcterms:created>
  <dc:creator>word科科～</dc:creator>
  <cp:lastModifiedBy>word科科～</cp:lastModifiedBy>
  <dcterms:modified xsi:type="dcterms:W3CDTF">2025-02-19T01:42:18Z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DF018EA3A36047EF9AD5706FA1D098EF_11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